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2E4" w:rsidRPr="009052E4" w:rsidRDefault="009052E4" w:rsidP="00905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caps/>
          <w:sz w:val="24"/>
          <w:szCs w:val="24"/>
        </w:rPr>
        <w:t>ТЕХНИЧЕСКОЕ задание</w:t>
      </w:r>
    </w:p>
    <w:p w:rsidR="009052E4" w:rsidRPr="009052E4" w:rsidRDefault="009052E4" w:rsidP="009052E4">
      <w:pPr>
        <w:tabs>
          <w:tab w:val="left" w:pos="311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9052E4" w:rsidRPr="009052E4" w:rsidRDefault="009052E4" w:rsidP="009052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>Общие положения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>Услуги оказываются в соответствии со следующими нормативными документами: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Методика оценки технического состояния основного технологического оборудования и линий электропередачи электрических станций и электрических сетей, утвержденная приказом Минэнерго России от 26.07.2017 № 676 (зарегистрировано Минюстом 05.10.2017 № 48429) с изменениями, утвержденными приказом Минэнерго России от 17.03.2020 №192 (зарегистрировано Минюстом России 18.05.2020 №58367) (далее – Методика ИТС);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052E4">
        <w:rPr>
          <w:rFonts w:ascii="Times New Roman" w:eastAsia="Times New Roman" w:hAnsi="Times New Roman" w:cs="Times New Roman"/>
          <w:sz w:val="24"/>
          <w:szCs w:val="24"/>
        </w:rPr>
        <w:t>Методика проведения оценки готовности субъектов электроэнергетики к работе в отопительный сезон, утвержденная приказом Минэнерго России от 27.12.2017 № 1233 (зарегистрировано Минюстом России 13.02.2018 № 50026) с изменениями, утвержденными приказом Минэнерго России от 12.02.2020 № 87 (зарегистрировано Минюстом России 19.05.2020 № 58377) (далее – Методика ОС).</w:t>
      </w:r>
    </w:p>
    <w:p w:rsidR="009052E4" w:rsidRPr="009052E4" w:rsidRDefault="009052E4" w:rsidP="009052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>Основное технологическое оборудование и линии электропередачи, в отношении которых проводится оказание услуг, а также перечень структурных подразделений: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76" w:lineRule="auto"/>
        <w:ind w:left="686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Перечень оборудования: 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- 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линии электропередачи классом напряжения 35 </w:t>
      </w:r>
      <w:proofErr w:type="spellStart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кВ</w:t>
      </w:r>
      <w:proofErr w:type="spellEnd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выше (в количестве 619 ед.);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силовые трансформаторы (автотрансформаторы) классом напряжения 35 </w:t>
      </w:r>
      <w:proofErr w:type="spellStart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кВ</w:t>
      </w:r>
      <w:proofErr w:type="spellEnd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выше (в количестве 783 ед.);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шунтирующие реакторы 500 </w:t>
      </w:r>
      <w:proofErr w:type="spellStart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кВ</w:t>
      </w:r>
      <w:proofErr w:type="spellEnd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(в количестве 16 ед.);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выключатели классом напряжения 35 </w:t>
      </w:r>
      <w:proofErr w:type="spellStart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кВ</w:t>
      </w:r>
      <w:proofErr w:type="spellEnd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выше (в количестве 896 ед.);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батареи статических конденсаторов классом напряжения 35 </w:t>
      </w:r>
      <w:proofErr w:type="spellStart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кВ</w:t>
      </w:r>
      <w:proofErr w:type="spellEnd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выше (в количестве 11 ед.);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системы (секции) шин классом напряжения 35 </w:t>
      </w:r>
      <w:proofErr w:type="spellStart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кВ</w:t>
      </w:r>
      <w:proofErr w:type="spellEnd"/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выше (в количестве 814 ед.).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3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Перечень структурных подразделений: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3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 Восточные электрические сети;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3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 Западные электрические сети;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3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 Северные электрические сети;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3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 Центральные электрические сети;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3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- Южные электрические сети.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».</w:t>
      </w:r>
    </w:p>
    <w:p w:rsidR="009052E4" w:rsidRPr="009052E4" w:rsidRDefault="009052E4" w:rsidP="009052E4">
      <w:pPr>
        <w:autoSpaceDE w:val="0"/>
        <w:autoSpaceDN w:val="0"/>
        <w:adjustRightInd w:val="0"/>
        <w:spacing w:after="240" w:line="23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052E4" w:rsidRPr="009052E4" w:rsidRDefault="009052E4" w:rsidP="009052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>Состав услуг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 xml:space="preserve">Услуги по 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оценке технического состояния основного технологического оборудования ОАО «ИЭСК» и определению текущего уровня готовности при подготовке к работе в отопительные сезоны 2022-2023 гг., 2023-2024 гг</w:t>
      </w:r>
      <w:r w:rsidRPr="009052E4">
        <w:rPr>
          <w:rFonts w:ascii="Times New Roman" w:eastAsia="Times New Roman" w:hAnsi="Times New Roman" w:cs="Times New Roman"/>
          <w:b/>
          <w:bCs/>
          <w:color w:val="000000"/>
        </w:rPr>
        <w:t>., 2024-2025 гг. включают в себя: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консультации по применению Методики ИТС, Методики ОС в ходе подготовки информации об основном технологическом оборудовании и линиях электропередачи </w:t>
      </w:r>
      <w:r w:rsidRPr="009052E4">
        <w:rPr>
          <w:rFonts w:ascii="Times New Roman" w:eastAsia="Times New Roman" w:hAnsi="Times New Roman" w:cs="Times New Roman"/>
          <w:color w:val="000000"/>
        </w:rPr>
        <w:t xml:space="preserve">Заказчика (далее – оборудование) для дальнейшей обработки в </w:t>
      </w:r>
      <w:r w:rsidRPr="009052E4">
        <w:rPr>
          <w:rFonts w:ascii="Times New Roman" w:eastAsia="Times New Roman" w:hAnsi="Times New Roman" w:cs="Times New Roman"/>
          <w:color w:val="000000"/>
        </w:rPr>
        <w:lastRenderedPageBreak/>
        <w:t xml:space="preserve">соответствии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Методикой ИТС и Методикой ОС;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расчет индексов технического состояния (далее – ИТС) единиц оборудования в соответствии с Методикой ИТС с использованием информации, предоставленной Заказчиком;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анализ причин снижения ИТС оборудования с рекомендациями по их устранению (в отчете на бумажном носителе на основании данных по состоянию на 25.08.2023, 25.08.2024, 25.08.2025 гг.;</w:t>
      </w:r>
      <w:r w:rsidRPr="009052E4">
        <w:rPr>
          <w:rFonts w:ascii="Times New Roman" w:eastAsia="Times New Roman" w:hAnsi="Times New Roman" w:cs="Times New Roman"/>
          <w:strike/>
          <w:sz w:val="24"/>
          <w:szCs w:val="24"/>
          <w:highlight w:val="yellow"/>
        </w:rPr>
        <w:t xml:space="preserve"> 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ранжирование оборудования по ИТС;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расчет текущего уровня готовности Заказчика к работе в отопительные сезоны </w:t>
      </w: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2022-2023 гг., 2023-2024 гг., 2024-2025 гг.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в соответствии с Методикой ОС с использованием информации, предоставленной Заказчиком;</w:t>
      </w:r>
    </w:p>
    <w:p w:rsidR="009052E4" w:rsidRPr="009052E4" w:rsidRDefault="009052E4" w:rsidP="009052E4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ранжирование филиалов по результатам оценки выполнения условий готовности, выявление филиалов с худшими результатами оценки готовности с анализом причин;</w:t>
      </w:r>
    </w:p>
    <w:p w:rsidR="009052E4" w:rsidRPr="009052E4" w:rsidRDefault="009052E4" w:rsidP="009052E4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перечень филиалов, имеющих худшие результаты оценок готовности с анализом причин их появления (в отчете на бумажном носителе на основании данных по состоянию на 25.08.2023, 25.08.2024, 25.08.2025 гг.;</w:t>
      </w:r>
    </w:p>
    <w:p w:rsidR="009052E4" w:rsidRPr="009052E4" w:rsidRDefault="009052E4" w:rsidP="009052E4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перечень филиалов, имеющих отрицательную динамику по результатам оценок готовности с рекомендациями по ее устранению (в отчете на бумажном носителе на основании данных по состоянию на 25.08.2023, 25.08.2024, 25.08.2025 гг.</w:t>
      </w:r>
    </w:p>
    <w:p w:rsidR="009052E4" w:rsidRPr="009052E4" w:rsidRDefault="009052E4" w:rsidP="009052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 xml:space="preserve">Порядок оказания услуг </w:t>
      </w:r>
    </w:p>
    <w:p w:rsidR="009052E4" w:rsidRPr="009052E4" w:rsidRDefault="009052E4" w:rsidP="009052E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>Оценка технического состояния основного технологического оборудования и линий электропередачи.</w:t>
      </w:r>
    </w:p>
    <w:p w:rsidR="009052E4" w:rsidRPr="009052E4" w:rsidRDefault="009052E4" w:rsidP="009052E4">
      <w:p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9052E4">
        <w:rPr>
          <w:rFonts w:ascii="Times New Roman" w:eastAsia="Times New Roman" w:hAnsi="Times New Roman" w:cs="Times New Roman"/>
          <w:color w:val="000000"/>
        </w:rPr>
        <w:t>Исполнитель осуществляет обработку информации, предоставленной Заказчиком до 25 числа каждого месяца Отчетного периода: значения ИТС функциональных узлов основного электротехнического оборудования и ЛЭП, рассчитанных в соответствии с Методикой ИТС, по каждой единице оборудования, ЛЭП с указанием причин снижения ИТС (далее – «Исходные данные для расчета ИТС»). Исполнитель в ходе подготовки Заказчиком «Исходных данных для расчета ИТС» осуществляет методические консультации по применению Методики ИТС по телефону и электронной почте, указанной в разделе 7 настоящего Технического задания.</w:t>
      </w:r>
    </w:p>
    <w:p w:rsidR="009052E4" w:rsidRPr="009052E4" w:rsidRDefault="009052E4" w:rsidP="009052E4">
      <w:p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9052E4">
        <w:rPr>
          <w:rFonts w:ascii="Times New Roman" w:eastAsia="Times New Roman" w:hAnsi="Times New Roman" w:cs="Times New Roman"/>
          <w:color w:val="000000"/>
        </w:rPr>
        <w:t>Исполнитель в течение 2 (двух) рабочих дней с даты получения «Исходных данных для расчета ИТС» от Заказчика проверяет их на полноту и соответствие Методике ИТС и в случае наличия замечаний, направляет их Заказчику на адрес электронной почты, указанный в разделе 7 настоящего Технического задания.</w:t>
      </w:r>
    </w:p>
    <w:p w:rsidR="009052E4" w:rsidRPr="009052E4" w:rsidRDefault="009052E4" w:rsidP="009052E4">
      <w:p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9052E4">
        <w:rPr>
          <w:rFonts w:ascii="Times New Roman" w:eastAsia="Times New Roman" w:hAnsi="Times New Roman" w:cs="Times New Roman"/>
          <w:color w:val="000000"/>
        </w:rPr>
        <w:t>Исполнитель не осуществляет проверку правильности (корректности) расчета значений ИТС функциональных узлов, предоставленных Заказчиком в составе Исходных данных для расчета ИТС.</w:t>
      </w:r>
    </w:p>
    <w:p w:rsidR="009052E4" w:rsidRPr="009052E4" w:rsidRDefault="009052E4" w:rsidP="009052E4">
      <w:p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9052E4">
        <w:rPr>
          <w:rFonts w:ascii="Times New Roman" w:eastAsia="Times New Roman" w:hAnsi="Times New Roman" w:cs="Times New Roman"/>
          <w:color w:val="000000"/>
        </w:rPr>
        <w:t>Заказчик устраняет замечания к «Исходным данным для расчета ИТС» в течение 1 (одного) рабочего дня с даты получения замечаний от Исполнителя.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осуществляет обработку «Исходных данных для расчета ИТС», а именно производит расчет ИТС каждой единицы электротехнического оборудования, ЛЭП, а также их аналитическую обработку, в том числе анализ причин снижения ИТС, динамики ИТС (начиная со второго месяца оказания услуг), рейтинги оборудования и ЛЭП по результатам расчета ИТС. </w:t>
      </w:r>
    </w:p>
    <w:p w:rsidR="009052E4" w:rsidRPr="009052E4" w:rsidRDefault="009052E4" w:rsidP="009052E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 xml:space="preserve">Определение текущего уровня готовности филиалов Заказчика к работе в отопительные сезоны </w:t>
      </w:r>
      <w:r w:rsidRPr="009052E4">
        <w:rPr>
          <w:rFonts w:ascii="Times New Roman" w:eastAsia="Times New Roman" w:hAnsi="Times New Roman" w:cs="Times New Roman"/>
          <w:b/>
          <w:bCs/>
          <w:sz w:val="24"/>
          <w:szCs w:val="24"/>
        </w:rPr>
        <w:t>2022-2023 гг., 2023-2024 гг., 2024-2025 гг.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Исполнитель осуществляет обработку информации: значения параметров, предусмотренных Методикой ОС (далее – «Исходные данные для расчета ИГОС»), при этом:</w:t>
      </w:r>
    </w:p>
    <w:p w:rsidR="009052E4" w:rsidRPr="009052E4" w:rsidRDefault="009052E4" w:rsidP="009052E4">
      <w:p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– параметры, для которых Методикой ОС предусмотрено предоставление субъектами электроэнергетики, владеющими на праве собственности или ином законном основании объектами электросетевого хозяйства, предоставляет Заказчик. Исполнитель в ходе предоставления параметров Заказчиком осуществляет методические консультации по применению Методики ОС </w:t>
      </w:r>
      <w:r w:rsidRPr="009052E4">
        <w:rPr>
          <w:rFonts w:ascii="Times New Roman" w:eastAsia="Times New Roman" w:hAnsi="Times New Roman" w:cs="Times New Roman"/>
          <w:color w:val="000000"/>
        </w:rPr>
        <w:t>по телефону и электронной почте, указанной в разделе 7 настоящего Технического задания.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– остальные параметры Исполнитель получает самостоятельно у источника, указанного в Методике ОС.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Исполнитель осуществляет обработку «Исходных данных для расчета ИГОС», а именно выполняет расчет оценки показателей готовности, условий готовности, групп условий готовности, индекса готовности для каждого филиала субъекта, а также аналитическую обработку: ранжирование филиалов по результатам оценки выполнения условий готовности, выявление наихудших результатов оценки готовности с анализом причин, в том числе выявление отрицательной динамики по результатам оценки готовности Заказчика, анализ причин такой динамики и рекомендации по ее устранению (в отчете на бумажном носителе).</w:t>
      </w:r>
    </w:p>
    <w:p w:rsidR="009052E4" w:rsidRPr="009052E4" w:rsidRDefault="009052E4" w:rsidP="009052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t>Требования к оформлению ежемесячных отчетных документов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Исполнитель ежемесячно формирует информационные материалы, содержащие обработанную информацию в соответствии с пунктами 4.1 и 4.2 настоящего Технического задания за истекший (расчетный) месяц, и направляет их Заказчику в виде файлов в форматах *.</w:t>
      </w:r>
      <w:r w:rsidRPr="009052E4">
        <w:rPr>
          <w:rFonts w:ascii="Times New Roman" w:eastAsia="Times New Roman" w:hAnsi="Times New Roman" w:cs="Times New Roman"/>
          <w:sz w:val="24"/>
          <w:szCs w:val="24"/>
          <w:lang w:val="en-US"/>
        </w:rPr>
        <w:t>doc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 и *.</w:t>
      </w:r>
      <w:proofErr w:type="spellStart"/>
      <w:r w:rsidRPr="009052E4">
        <w:rPr>
          <w:rFonts w:ascii="Times New Roman" w:eastAsia="Times New Roman" w:hAnsi="Times New Roman" w:cs="Times New Roman"/>
          <w:sz w:val="24"/>
          <w:szCs w:val="24"/>
          <w:lang w:val="en-US"/>
        </w:rPr>
        <w:t>xls</w:t>
      </w:r>
      <w:proofErr w:type="spellEnd"/>
      <w:r w:rsidRPr="009052E4">
        <w:rPr>
          <w:rFonts w:ascii="Times New Roman" w:eastAsia="Times New Roman" w:hAnsi="Times New Roman" w:cs="Times New Roman"/>
          <w:color w:val="000000"/>
        </w:rPr>
        <w:t xml:space="preserve"> на адрес электронной почты, указанный в разделе 7 настоящего Технического задания, не позднее 10 числа месяца, следующего за расчетным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. Информационные материалы должны включать в себя:</w:t>
      </w:r>
    </w:p>
    <w:p w:rsidR="009052E4" w:rsidRPr="009052E4" w:rsidRDefault="009052E4" w:rsidP="009052E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1. Сведения о техническом состоянии технологического оборудования и линий электропередачи:</w:t>
      </w:r>
    </w:p>
    <w:p w:rsidR="009052E4" w:rsidRPr="009052E4" w:rsidRDefault="009052E4" w:rsidP="009052E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ИТС функциональных узлов каждой единицы оборудования (Таблица №1);</w:t>
      </w:r>
    </w:p>
    <w:p w:rsidR="009052E4" w:rsidRPr="009052E4" w:rsidRDefault="009052E4" w:rsidP="009052E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ИТС единиц электротехнического оборудования, ЛЭП с причинами отклонения от 100</w:t>
      </w:r>
      <w:r w:rsidRPr="009052E4" w:rsidDel="00472A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(Таблица №2); </w:t>
      </w:r>
    </w:p>
    <w:p w:rsidR="009052E4" w:rsidRPr="009052E4" w:rsidRDefault="009052E4" w:rsidP="009052E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Значения ИТС единиц оборудования и ЛЭП после проведенных КР, СР</w:t>
      </w:r>
      <w:r w:rsidRPr="009052E4" w:rsidDel="00BF3C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(Таблица №3);</w:t>
      </w:r>
    </w:p>
    <w:p w:rsidR="009052E4" w:rsidRPr="009052E4" w:rsidRDefault="009052E4" w:rsidP="009052E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Перечень оборудования и ЛЭП, имеющих худшую оценку технического состояния (Таблица №4);</w:t>
      </w:r>
    </w:p>
    <w:p w:rsidR="009052E4" w:rsidRPr="009052E4" w:rsidRDefault="009052E4" w:rsidP="009052E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Динамика ИТС функциональных узлов и единиц электротехнического оборудования и ЛЭП (Таблица №5);</w:t>
      </w:r>
    </w:p>
    <w:p w:rsidR="009052E4" w:rsidRPr="009052E4" w:rsidRDefault="009052E4" w:rsidP="009052E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Анализ причин снижения ИТС основного технологического оборудования и линий электропередачи с рекомендациями по их устранению (в отчете на бумажном носителе на основании данных по состоянию на 25.08.2023, 25.08.2024, 25.08.2025 гг.</w:t>
      </w:r>
    </w:p>
    <w:p w:rsidR="009052E4" w:rsidRPr="009052E4" w:rsidRDefault="009052E4" w:rsidP="009052E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 xml:space="preserve">2. Сведения об уровне готовности Заказчика к работе в отопительные сезоны </w:t>
      </w:r>
      <w:ins w:id="1" w:author="Сапроненков Александр Викторович" w:date="2021-07-23T05:31:00Z">
        <w:r w:rsidRPr="009052E4">
          <w:rPr>
            <w:rFonts w:ascii="Times New Roman" w:eastAsia="Times New Roman" w:hAnsi="Times New Roman" w:cs="Times New Roman"/>
            <w:bCs/>
            <w:sz w:val="24"/>
            <w:szCs w:val="24"/>
          </w:rPr>
          <w:br/>
        </w:r>
      </w:ins>
      <w:r w:rsidRPr="009052E4">
        <w:rPr>
          <w:rFonts w:ascii="Times New Roman" w:eastAsia="Times New Roman" w:hAnsi="Times New Roman" w:cs="Times New Roman"/>
          <w:bCs/>
          <w:sz w:val="24"/>
          <w:szCs w:val="24"/>
        </w:rPr>
        <w:t>2022-2023 гг., 2023-2024 гг., 2024-2025 гг.: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Результаты расчета текущего уровня готовности к работе в отопительный сезон (Таблица №6);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Перечень объектов, имеющих худшие результаты оценок готовности с анализом причин их появления (в отчете на бумажном носителе на основании данных по состоянию на 25.08.2023, 25.08.2024, 25.08.2025 гг.;</w:t>
      </w:r>
    </w:p>
    <w:p w:rsidR="009052E4" w:rsidRPr="009052E4" w:rsidRDefault="009052E4" w:rsidP="009052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Перечень объектов, имеющих отрицательную динамику по результатам оценок готовности с рекомендациями по ее устранению (в отчете на бумажном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lastRenderedPageBreak/>
        <w:t>носителе на основании данных по состоянию на 25.08.2023, 25.08.2024, 25.08.2025 гг.</w:t>
      </w:r>
    </w:p>
    <w:p w:rsidR="009052E4" w:rsidRPr="009052E4" w:rsidRDefault="009052E4" w:rsidP="009052E4">
      <w:pPr>
        <w:spacing w:after="0" w:line="240" w:lineRule="auto"/>
        <w:rPr>
          <w:rFonts w:ascii="Times New Roman" w:eastAsia="Times New Roman" w:hAnsi="Times New Roman" w:cs="Times New Roman"/>
          <w:strike/>
          <w:sz w:val="8"/>
          <w:szCs w:val="8"/>
        </w:rPr>
      </w:pPr>
    </w:p>
    <w:p w:rsidR="009052E4" w:rsidRPr="009052E4" w:rsidRDefault="009052E4" w:rsidP="009052E4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9052E4" w:rsidRPr="009052E4" w:rsidSect="00E07B03">
          <w:footerReference w:type="default" r:id="rId5"/>
          <w:pgSz w:w="11906" w:h="16838" w:code="9"/>
          <w:pgMar w:top="1134" w:right="1133" w:bottom="1134" w:left="1276" w:header="0" w:footer="0" w:gutter="0"/>
          <w:cols w:space="708"/>
          <w:titlePg/>
          <w:docGrid w:linePitch="360"/>
        </w:sect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Таблица №1</w:t>
      </w: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ИТС функциональных узлов каждой единицы оборудования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275"/>
        <w:gridCol w:w="1136"/>
        <w:gridCol w:w="2469"/>
        <w:gridCol w:w="2490"/>
        <w:gridCol w:w="1773"/>
        <w:gridCol w:w="1695"/>
        <w:gridCol w:w="958"/>
        <w:gridCol w:w="2201"/>
      </w:tblGrid>
      <w:tr w:rsidR="009052E4" w:rsidRPr="009052E4" w:rsidTr="00A4072A">
        <w:trPr>
          <w:trHeight w:val="114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Субъект ЭЭ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Филиал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ЭЭ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 оборудования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Диспетчерское наименование 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Функциональный узел (ФУ)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ФУ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единицы оборудования</w:t>
            </w:r>
            <w:ins w:id="2" w:author="Сапроненков Александр Викторович" w:date="2021-07-23T05:59:00Z">
              <w:r w:rsidRPr="009052E4">
                <w:rPr>
                  <w:rFonts w:ascii="Times New Roman" w:eastAsia="Times New Roman" w:hAnsi="Times New Roman" w:cs="Times New Roman"/>
                  <w:b/>
                  <w:bCs/>
                  <w:lang w:eastAsia="ru-RU"/>
                </w:rPr>
                <w:t xml:space="preserve"> </w:t>
              </w:r>
            </w:ins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/группы оборудования/объекта/ субъекта</w:t>
            </w:r>
          </w:p>
        </w:tc>
      </w:tr>
      <w:tr w:rsidR="009052E4" w:rsidRPr="009052E4" w:rsidTr="00A4072A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</w:tbl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left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Таблица №2</w:t>
      </w: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ИТС единиц электротехнического оборудования, ЛЭП с причинами отклонения от 100</w:t>
      </w:r>
    </w:p>
    <w:tbl>
      <w:tblPr>
        <w:tblW w:w="145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04"/>
        <w:gridCol w:w="1185"/>
        <w:gridCol w:w="992"/>
        <w:gridCol w:w="1417"/>
        <w:gridCol w:w="2410"/>
        <w:gridCol w:w="2268"/>
        <w:gridCol w:w="1276"/>
        <w:gridCol w:w="1701"/>
        <w:gridCol w:w="770"/>
        <w:gridCol w:w="2171"/>
      </w:tblGrid>
      <w:tr w:rsidR="009052E4" w:rsidRPr="009052E4" w:rsidTr="00A4072A">
        <w:trPr>
          <w:trHeight w:val="453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Субъект ЭЭ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ind w:left="-133" w:right="-12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Филиал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ind w:left="-84" w:right="-11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ЭЭ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ind w:left="-10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 оборудования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Диспетчерское 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единицы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Экземпляр ФУ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ФУ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Причины отклонения значения ИТС от 100 баллов</w:t>
            </w:r>
          </w:p>
        </w:tc>
      </w:tr>
      <w:tr w:rsidR="009052E4" w:rsidRPr="009052E4" w:rsidTr="00A4072A">
        <w:trPr>
          <w:trHeight w:val="595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052E4" w:rsidRPr="009052E4" w:rsidTr="00A4072A">
        <w:trPr>
          <w:trHeight w:val="283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</w:tbl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left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Таблица №3</w:t>
      </w: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Значения ИТС единиц оборудования и ЛЭП после проведенных КР, СР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0"/>
        <w:gridCol w:w="1904"/>
        <w:gridCol w:w="2033"/>
        <w:gridCol w:w="1974"/>
        <w:gridCol w:w="1401"/>
        <w:gridCol w:w="1121"/>
        <w:gridCol w:w="1832"/>
        <w:gridCol w:w="1348"/>
        <w:gridCol w:w="1022"/>
        <w:gridCol w:w="1345"/>
      </w:tblGrid>
      <w:tr w:rsidR="009052E4" w:rsidRPr="009052E4" w:rsidTr="00A4072A">
        <w:trPr>
          <w:trHeight w:val="300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Филиал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 оборудования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Диспетчерское наименование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окончания ремонта (факт)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ремонта</w:t>
            </w:r>
          </w:p>
        </w:tc>
        <w:tc>
          <w:tcPr>
            <w:tcW w:w="10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до ремонта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после ремонта</w:t>
            </w:r>
          </w:p>
        </w:tc>
      </w:tr>
      <w:tr w:rsidR="009052E4" w:rsidRPr="009052E4" w:rsidTr="00A4072A">
        <w:trPr>
          <w:trHeight w:val="85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Отчётный период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Отчётный период</w:t>
            </w:r>
          </w:p>
        </w:tc>
      </w:tr>
      <w:tr w:rsidR="009052E4" w:rsidRPr="009052E4" w:rsidTr="00A4072A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</w:tbl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Таблица №4</w:t>
      </w: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Перечень оборудования и ЛЭП, имеющих худшую оценку технического состояния</w:t>
      </w:r>
    </w:p>
    <w:tbl>
      <w:tblPr>
        <w:tblW w:w="11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2420"/>
        <w:gridCol w:w="2420"/>
        <w:gridCol w:w="2620"/>
        <w:gridCol w:w="1700"/>
      </w:tblGrid>
      <w:tr w:rsidR="009052E4" w:rsidRPr="009052E4" w:rsidTr="00A4072A">
        <w:trPr>
          <w:trHeight w:val="570"/>
        </w:trPr>
        <w:tc>
          <w:tcPr>
            <w:tcW w:w="2500" w:type="dxa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Филиал</w:t>
            </w:r>
          </w:p>
        </w:tc>
        <w:tc>
          <w:tcPr>
            <w:tcW w:w="2420" w:type="dxa"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ЭЭ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 оборудования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Диспетчерское наименование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</w:t>
            </w:r>
          </w:p>
        </w:tc>
      </w:tr>
      <w:tr w:rsidR="009052E4" w:rsidRPr="009052E4" w:rsidTr="00A4072A">
        <w:trPr>
          <w:trHeight w:val="255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0" w:type="dxa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0" w:type="dxa"/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Таблица №5</w:t>
      </w: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Динамика ИТС функциональных узлов и единиц электротехнического оборудования и ЛЭП</w:t>
      </w:r>
    </w:p>
    <w:tbl>
      <w:tblPr>
        <w:tblW w:w="15011" w:type="dxa"/>
        <w:tblInd w:w="-29" w:type="dxa"/>
        <w:tblLook w:val="04A0" w:firstRow="1" w:lastRow="0" w:firstColumn="1" w:lastColumn="0" w:noHBand="0" w:noVBand="1"/>
      </w:tblPr>
      <w:tblGrid>
        <w:gridCol w:w="531"/>
        <w:gridCol w:w="1284"/>
        <w:gridCol w:w="1601"/>
        <w:gridCol w:w="1701"/>
        <w:gridCol w:w="1251"/>
        <w:gridCol w:w="1601"/>
        <w:gridCol w:w="1251"/>
        <w:gridCol w:w="1601"/>
        <w:gridCol w:w="1320"/>
        <w:gridCol w:w="911"/>
        <w:gridCol w:w="911"/>
        <w:gridCol w:w="1374"/>
      </w:tblGrid>
      <w:tr w:rsidR="009052E4" w:rsidRPr="009052E4" w:rsidTr="00A4072A">
        <w:trPr>
          <w:trHeight w:val="190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Филиал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 оборудования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Диспетчерское наименование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Отчётный период 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единицы оборудования период 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Отчётный период 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единицы оборудования период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Экземпляр ФУ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ИТС ФУ период 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ИТС ФУ период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</w:t>
            </w:r>
          </w:p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(+ улучшение, </w:t>
            </w:r>
          </w:p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ухудшение)</w:t>
            </w:r>
          </w:p>
        </w:tc>
      </w:tr>
      <w:tr w:rsidR="009052E4" w:rsidRPr="009052E4" w:rsidTr="00A4072A">
        <w:trPr>
          <w:trHeight w:val="36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2E4" w:rsidRPr="009052E4" w:rsidRDefault="009052E4" w:rsidP="0090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</w:tbl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Таблица №6</w:t>
      </w: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>Результаты расчета текущего уровня готовности к работе в отопительный сезон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128"/>
        <w:gridCol w:w="2091"/>
        <w:gridCol w:w="1564"/>
        <w:gridCol w:w="1567"/>
        <w:gridCol w:w="1570"/>
        <w:gridCol w:w="1628"/>
        <w:gridCol w:w="1823"/>
        <w:gridCol w:w="1625"/>
      </w:tblGrid>
      <w:tr w:rsidR="009052E4" w:rsidRPr="009052E4" w:rsidTr="00A4072A">
        <w:trPr>
          <w:trHeight w:val="850"/>
        </w:trPr>
        <w:tc>
          <w:tcPr>
            <w:tcW w:w="194" w:type="pct"/>
            <w:shd w:val="clear" w:color="auto" w:fill="auto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731" w:type="pct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Филиал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Количественная оценка филиала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Группа условий готовности</w:t>
            </w:r>
          </w:p>
        </w:tc>
        <w:tc>
          <w:tcPr>
            <w:tcW w:w="538" w:type="pct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 группы условий филиала</w:t>
            </w:r>
          </w:p>
        </w:tc>
        <w:tc>
          <w:tcPr>
            <w:tcW w:w="539" w:type="pct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Условие готовности</w:t>
            </w:r>
          </w:p>
        </w:tc>
        <w:tc>
          <w:tcPr>
            <w:tcW w:w="559" w:type="pct"/>
            <w:shd w:val="clear" w:color="auto" w:fill="auto"/>
            <w:vAlign w:val="center"/>
            <w:hideMark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 условия готовности</w:t>
            </w:r>
          </w:p>
        </w:tc>
        <w:tc>
          <w:tcPr>
            <w:tcW w:w="626" w:type="pct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 готовности</w:t>
            </w:r>
          </w:p>
        </w:tc>
        <w:tc>
          <w:tcPr>
            <w:tcW w:w="558" w:type="pct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Оценка показателя готовности</w:t>
            </w:r>
          </w:p>
        </w:tc>
      </w:tr>
      <w:tr w:rsidR="009052E4" w:rsidRPr="009052E4" w:rsidTr="00A4072A">
        <w:trPr>
          <w:trHeight w:val="406"/>
        </w:trPr>
        <w:tc>
          <w:tcPr>
            <w:tcW w:w="194" w:type="pct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538" w:type="pct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626" w:type="pct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558" w:type="pct"/>
            <w:vAlign w:val="center"/>
          </w:tcPr>
          <w:p w:rsidR="009052E4" w:rsidRPr="009052E4" w:rsidRDefault="009052E4" w:rsidP="0090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9052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9</w:t>
            </w:r>
          </w:p>
        </w:tc>
      </w:tr>
    </w:tbl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shd w:val="clear" w:color="auto" w:fill="FFFFFF"/>
        <w:tabs>
          <w:tab w:val="left" w:pos="7938"/>
          <w:tab w:val="left" w:pos="8080"/>
        </w:tabs>
        <w:autoSpaceDE w:val="0"/>
        <w:autoSpaceDN w:val="0"/>
        <w:adjustRightInd w:val="0"/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052E4" w:rsidRPr="009052E4" w:rsidRDefault="009052E4" w:rsidP="009052E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  <w:sectPr w:rsidR="009052E4" w:rsidRPr="009052E4" w:rsidSect="00E07B03">
          <w:pgSz w:w="16838" w:h="11906" w:orient="landscape" w:code="9"/>
          <w:pgMar w:top="1276" w:right="1134" w:bottom="1133" w:left="1134" w:header="0" w:footer="0" w:gutter="0"/>
          <w:cols w:space="708"/>
          <w:titlePg/>
          <w:docGrid w:linePitch="360"/>
        </w:sectPr>
      </w:pPr>
    </w:p>
    <w:p w:rsidR="009052E4" w:rsidRPr="009052E4" w:rsidRDefault="009052E4" w:rsidP="009052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9052E4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Требования к оформлению Отчета об оказанных услугах (за Отчетный период)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6.1. Отчет об оказанных услугах за каждый Отчетный период предоставляется Исполнителем Заказчику на электронном (</w:t>
      </w:r>
      <w:r w:rsidRPr="009052E4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) носителе (в виде файлов формата .</w:t>
      </w:r>
      <w:proofErr w:type="spellStart"/>
      <w:r w:rsidRPr="009052E4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  <w:r w:rsidRPr="009052E4">
        <w:rPr>
          <w:rFonts w:ascii="Times New Roman" w:eastAsia="Times New Roman" w:hAnsi="Times New Roman" w:cs="Times New Roman"/>
          <w:sz w:val="24"/>
          <w:szCs w:val="24"/>
        </w:rPr>
        <w:t>, .</w:t>
      </w:r>
      <w:proofErr w:type="spellStart"/>
      <w:r w:rsidRPr="009052E4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9052E4">
        <w:rPr>
          <w:rFonts w:ascii="Times New Roman" w:eastAsia="Times New Roman" w:hAnsi="Times New Roman" w:cs="Times New Roman"/>
          <w:sz w:val="24"/>
          <w:szCs w:val="24"/>
        </w:rPr>
        <w:t>) и включает в себя все информационные материалы, направленные Заказчику в Отчетном периоде на адрес электронной почты, указанный в разделе 7 Технического задания.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дополнительно направляет Заказчику следующие Отчеты об оказанных услугах в бумажном виде и на электронном носителе (CD):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1) отчет об оказанных услугах «Сведения о техническом состоянии основного технологического оборудования и линий электропередачи ОАО «ИЭСК» по состоянию на 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25.08.2023, 25.08.2024, 25.08.2025</w:t>
      </w: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2) отчет об оказанных услугах «Сведения о текущем уровне готовности ОАО «ИЭСК»</w:t>
      </w:r>
      <w:r w:rsidRPr="00905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работе в отопительный сезон ____________ гг.» по состоянию на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25.08.2023, 25.08.2024, 25.08.2025</w:t>
      </w: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все приложения к указанным отчетам предоставляются Заказчику только на электронном носителе (CD) (в виде файлов формата .</w:t>
      </w:r>
      <w:proofErr w:type="spellStart"/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, .</w:t>
      </w:r>
      <w:proofErr w:type="spellStart"/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xls</w:t>
      </w:r>
      <w:proofErr w:type="spellEnd"/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Отчеты по состоянию на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25.08.2023, 25.08.2024, 25.08.2025 </w:t>
      </w: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направляются Заказчику не позднее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 xml:space="preserve">10.10.2023, 10.10.2024, 10.10.2025 </w:t>
      </w:r>
      <w:r w:rsidRPr="009052E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соответственно на почтовый адрес, указанный в разделе 7 настоящего Технического задания.</w:t>
      </w:r>
    </w:p>
    <w:p w:rsidR="009052E4" w:rsidRPr="009052E4" w:rsidRDefault="009052E4" w:rsidP="009052E4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2E4">
        <w:rPr>
          <w:rFonts w:ascii="Times New Roman" w:eastAsia="Times New Roman" w:hAnsi="Times New Roman" w:cs="Times New Roman"/>
          <w:sz w:val="24"/>
          <w:szCs w:val="24"/>
        </w:rPr>
        <w:t>При формировании отчетной документации за 4, 8, 12</w:t>
      </w:r>
      <w:r w:rsidRPr="009052E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2E4">
        <w:rPr>
          <w:rFonts w:ascii="Times New Roman" w:eastAsia="Times New Roman" w:hAnsi="Times New Roman" w:cs="Times New Roman"/>
          <w:sz w:val="24"/>
          <w:szCs w:val="24"/>
        </w:rPr>
        <w:t>отчетные периоды Исполнитель дополнительно направляет Заказчику Отчёты об оказанных услугах по состоянию на 25.08.2023, 25.08.2024, 25.08.2025 гг. соответственно на бумажном и электронном (CD) носителях не позднее 10.10.2023, 10.10.2024, 10.10.2025 гг. соответственно, на почтовый адрес, указанный в разделе 7 настоящего Технического задания. Все приложения к Отчету об оказанных услугах по состоянию на 25.08.2023, 25.08.2024, 25.08.2025 гг. предоставляются Заказчику только на электронном (CD) носителе (в виде файлов формата .</w:t>
      </w:r>
      <w:proofErr w:type="spellStart"/>
      <w:r w:rsidRPr="009052E4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  <w:r w:rsidRPr="009052E4">
        <w:rPr>
          <w:rFonts w:ascii="Times New Roman" w:eastAsia="Times New Roman" w:hAnsi="Times New Roman" w:cs="Times New Roman"/>
          <w:sz w:val="24"/>
          <w:szCs w:val="24"/>
        </w:rPr>
        <w:t>, .</w:t>
      </w:r>
      <w:proofErr w:type="spellStart"/>
      <w:r w:rsidRPr="009052E4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9052E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E2472" w:rsidRDefault="008E2472"/>
    <w:sectPr w:rsidR="008E2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932271"/>
      <w:docPartObj>
        <w:docPartGallery w:val="Page Numbers (Bottom of Page)"/>
        <w:docPartUnique/>
      </w:docPartObj>
    </w:sdtPr>
    <w:sdtContent>
      <w:p w:rsidR="009052E4" w:rsidRDefault="009052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052E4" w:rsidRDefault="009052E4" w:rsidP="00012943">
    <w:pPr>
      <w:pStyle w:val="a3"/>
      <w:jc w:val="righ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60B3"/>
    <w:multiLevelType w:val="hybridMultilevel"/>
    <w:tmpl w:val="1EFE7352"/>
    <w:lvl w:ilvl="0" w:tplc="53B0089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E12ACE1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B11C3D"/>
    <w:multiLevelType w:val="hybridMultilevel"/>
    <w:tmpl w:val="0B0293D8"/>
    <w:lvl w:ilvl="0" w:tplc="53B0089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1FD03A4"/>
    <w:multiLevelType w:val="multilevel"/>
    <w:tmpl w:val="DB2E0C10"/>
    <w:lvl w:ilvl="0">
      <w:start w:val="1"/>
      <w:numFmt w:val="decimal"/>
      <w:lvlText w:val="%1."/>
      <w:lvlJc w:val="left"/>
      <w:pPr>
        <w:ind w:left="645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39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6639" w:hanging="11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639" w:hanging="11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639" w:hanging="11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639" w:hanging="111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96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9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329" w:hanging="1800"/>
      </w:pPr>
      <w:rPr>
        <w:rFonts w:hint="default"/>
        <w:b/>
      </w:rPr>
    </w:lvl>
  </w:abstractNum>
  <w:abstractNum w:abstractNumId="3" w15:restartNumberingAfterBreak="0">
    <w:nsid w:val="6CC80A78"/>
    <w:multiLevelType w:val="multilevel"/>
    <w:tmpl w:val="D2A229D4"/>
    <w:lvl w:ilvl="0">
      <w:start w:val="1"/>
      <w:numFmt w:val="decimal"/>
      <w:lvlText w:val="%1."/>
      <w:lvlJc w:val="left"/>
      <w:pPr>
        <w:ind w:left="1616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6" w:hanging="11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96" w:hanging="11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6" w:hanging="11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6" w:hanging="11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6" w:hanging="111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86" w:hanging="1800"/>
      </w:pPr>
      <w:rPr>
        <w:rFonts w:hint="default"/>
        <w:b/>
      </w:rPr>
    </w:lvl>
  </w:abstractNum>
  <w:abstractNum w:abstractNumId="4" w15:restartNumberingAfterBreak="0">
    <w:nsid w:val="6DCF0038"/>
    <w:multiLevelType w:val="hybridMultilevel"/>
    <w:tmpl w:val="150248AE"/>
    <w:lvl w:ilvl="0" w:tplc="69660A56">
      <w:start w:val="1"/>
      <w:numFmt w:val="bullet"/>
      <w:lvlText w:val="-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апроненков Александр Викторович">
    <w15:presenceInfo w15:providerId="None" w15:userId="Сапроненков Александр Виктор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AB"/>
    <w:rsid w:val="008E2472"/>
    <w:rsid w:val="009052E4"/>
    <w:rsid w:val="00EE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B031"/>
  <w15:chartTrackingRefBased/>
  <w15:docId w15:val="{3D6C267A-D925-4F11-A4DC-8FA69DAF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052E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9052E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1775</Words>
  <Characters>10122</Characters>
  <Application>Microsoft Office Word</Application>
  <DocSecurity>0</DocSecurity>
  <Lines>84</Lines>
  <Paragraphs>23</Paragraphs>
  <ScaleCrop>false</ScaleCrop>
  <Company/>
  <LinksUpToDate>false</LinksUpToDate>
  <CharactersWithSpaces>11874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Yakovlev Mikhail</dc:creator>
  <cp:keywords/>
  <dc:description/>
  <cp:lastModifiedBy>Yakovlev Mikhail</cp:lastModifiedBy>
  <cp:revision>2</cp:revision>
  <dcterms:created xsi:type="dcterms:W3CDTF">2021-11-17T07:57:00Z</dcterms:created>
  <dcterms:modified xsi:type="dcterms:W3CDTF">2021-11-17T07:58:00Z</dcterms:modified>
</cp:coreProperties>
</file>